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jc w:val="center"/>
        <w:spacing w:line="240" w:lineRule="exact"/>
        <w:rPr>
          <w:bCs/>
          <w:sz w:val="28"/>
        </w:rPr>
      </w:pPr>
      <w:r>
        <w:rPr>
          <w:bCs/>
          <w:sz w:val="28"/>
        </w:rPr>
        <w:t xml:space="preserve">ОТЧЕТ</w:t>
      </w:r>
      <w:r>
        <w:rPr>
          <w:bCs/>
          <w:sz w:val="28"/>
        </w:rPr>
      </w:r>
      <w:r/>
    </w:p>
    <w:p>
      <w:pPr>
        <w:pStyle w:val="854"/>
        <w:jc w:val="center"/>
        <w:spacing w:line="240" w:lineRule="exact"/>
        <w:rPr>
          <w:bCs/>
          <w:sz w:val="28"/>
        </w:rPr>
      </w:pPr>
      <w:r>
        <w:rPr>
          <w:bCs/>
          <w:sz w:val="28"/>
        </w:rPr>
      </w:r>
      <w:r>
        <w:rPr>
          <w:bCs/>
          <w:sz w:val="28"/>
        </w:rPr>
      </w:r>
      <w:r/>
    </w:p>
    <w:p>
      <w:pPr>
        <w:pStyle w:val="854"/>
        <w:jc w:val="center"/>
        <w:spacing w:line="240" w:lineRule="exact"/>
        <w:rPr>
          <w:bCs/>
          <w:sz w:val="28"/>
        </w:rPr>
      </w:pPr>
      <w:r>
        <w:rPr>
          <w:bCs/>
          <w:sz w:val="28"/>
        </w:rPr>
        <w:t xml:space="preserve">о внутренних заимствованиях Ставропольского края </w:t>
      </w:r>
      <w:r>
        <w:rPr>
          <w:bCs/>
          <w:sz w:val="28"/>
        </w:rPr>
      </w:r>
      <w:r/>
    </w:p>
    <w:p>
      <w:pPr>
        <w:pStyle w:val="854"/>
        <w:jc w:val="center"/>
        <w:spacing w:line="240" w:lineRule="exact"/>
        <w:rPr>
          <w:bCs/>
          <w:sz w:val="28"/>
        </w:rPr>
      </w:pPr>
      <w:r>
        <w:rPr>
          <w:bCs/>
          <w:sz w:val="28"/>
        </w:rPr>
        <w:t xml:space="preserve">по видам заимствований за 2025</w:t>
      </w:r>
      <w:r>
        <w:rPr>
          <w:bCs/>
          <w:sz w:val="28"/>
        </w:rPr>
        <w:t xml:space="preserve"> год</w:t>
      </w:r>
      <w:r>
        <w:rPr>
          <w:bCs/>
          <w:sz w:val="28"/>
        </w:rPr>
      </w:r>
      <w:r/>
    </w:p>
    <w:p>
      <w:pPr>
        <w:pStyle w:val="854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pStyle w:val="862"/>
        <w:ind w:left="0" w:firstLine="72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Го</w:t>
      </w:r>
      <w:r>
        <w:rPr>
          <w:sz w:val="28"/>
          <w:szCs w:val="28"/>
          <w:highlight w:val="white"/>
        </w:rPr>
        <w:t xml:space="preserve">с</w:t>
      </w:r>
      <w:r>
        <w:rPr>
          <w:sz w:val="28"/>
          <w:szCs w:val="28"/>
          <w:highlight w:val="white"/>
        </w:rPr>
        <w:t xml:space="preserve">ударственный долг Ста</w:t>
      </w:r>
      <w:r>
        <w:rPr>
          <w:sz w:val="28"/>
          <w:szCs w:val="28"/>
          <w:highlight w:val="white"/>
        </w:rPr>
        <w:t xml:space="preserve">вропольского края по состоянию на </w:t>
      </w:r>
      <w:r>
        <w:rPr>
          <w:sz w:val="28"/>
          <w:szCs w:val="28"/>
          <w:highlight w:val="white"/>
        </w:rPr>
        <w:t xml:space="preserve">01 янв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ря 2025</w:t>
      </w:r>
      <w:r>
        <w:rPr>
          <w:sz w:val="28"/>
          <w:szCs w:val="28"/>
          <w:highlight w:val="white"/>
        </w:rPr>
        <w:t xml:space="preserve"> года составлял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highlight w:val="white"/>
        </w:rPr>
        <w:t xml:space="preserve">26 241 536,28 тыс. рублей.</w:t>
      </w:r>
      <w:r>
        <w:rPr>
          <w:sz w:val="28"/>
          <w:szCs w:val="28"/>
          <w:highlight w:val="white"/>
        </w:rPr>
      </w:r>
      <w:r/>
    </w:p>
    <w:p>
      <w:pPr>
        <w:pStyle w:val="854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2025</w:t>
      </w:r>
      <w:r>
        <w:rPr>
          <w:sz w:val="28"/>
          <w:szCs w:val="28"/>
          <w:highlight w:val="white"/>
        </w:rPr>
        <w:t xml:space="preserve"> году </w:t>
      </w:r>
      <w:r>
        <w:rPr>
          <w:sz w:val="28"/>
          <w:szCs w:val="28"/>
          <w:highlight w:val="white"/>
        </w:rPr>
        <w:t xml:space="preserve">было осуществлено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white"/>
        </w:rPr>
      </w:r>
      <w:r/>
    </w:p>
    <w:p>
      <w:pPr>
        <w:pStyle w:val="854"/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привлечение из федерального бюджета </w:t>
      </w:r>
      <w:r>
        <w:rPr>
          <w:sz w:val="28"/>
          <w:highlight w:val="white"/>
        </w:rPr>
        <w:t xml:space="preserve">казначейского</w:t>
      </w:r>
      <w:r>
        <w:rPr>
          <w:sz w:val="28"/>
          <w:highlight w:val="white"/>
        </w:rPr>
        <w:t xml:space="preserve"> бюджетного кредита </w:t>
      </w:r>
      <w:r>
        <w:rPr>
          <w:sz w:val="28"/>
          <w:highlight w:val="white"/>
        </w:rPr>
        <w:t xml:space="preserve">на финансовое обеспечение реализации инфраструктурных проектов на сумму </w:t>
      </w:r>
      <w:r>
        <w:rPr>
          <w:sz w:val="28"/>
          <w:highlight w:val="white"/>
        </w:rPr>
        <w:t xml:space="preserve">2 993 455,40 тыс. рублей</w:t>
      </w:r>
      <w:r>
        <w:rPr>
          <w:sz w:val="28"/>
          <w:highlight w:val="white"/>
        </w:rPr>
        <w:t xml:space="preserve">;</w:t>
      </w:r>
      <w:r>
        <w:rPr>
          <w:sz w:val="28"/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погашение части задолженности в федеральный бюджет по бюджетным креди</w:t>
      </w:r>
      <w:r>
        <w:rPr>
          <w:sz w:val="28"/>
          <w:szCs w:val="28"/>
          <w:highlight w:val="white"/>
        </w:rPr>
        <w:t xml:space="preserve">там на сумму</w:t>
      </w:r>
      <w:r>
        <w:rPr>
          <w:sz w:val="28"/>
          <w:szCs w:val="28"/>
          <w:highlight w:val="white"/>
        </w:rPr>
        <w:t xml:space="preserve"> 1 309 341,97 тыс. рублей;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rPr>
          <w:highlight w:val="none"/>
        </w:rPr>
      </w:pPr>
      <w:r>
        <w:rPr>
          <w:sz w:val="28"/>
          <w:szCs w:val="28"/>
          <w:highlight w:val="white"/>
        </w:rPr>
        <w:t xml:space="preserve">списание части задолженности в федеральный бюджет по бюджетным креди</w:t>
      </w:r>
      <w:r>
        <w:rPr>
          <w:sz w:val="28"/>
          <w:szCs w:val="28"/>
          <w:highlight w:val="white"/>
        </w:rPr>
        <w:t xml:space="preserve">там на сумму</w:t>
      </w:r>
      <w:r>
        <w:rPr>
          <w:sz w:val="28"/>
          <w:szCs w:val="28"/>
          <w:highlight w:val="white"/>
        </w:rPr>
        <w:t xml:space="preserve"> 13 482 757,35 тыс. рублей;</w:t>
      </w:r>
      <w:r>
        <w:rPr>
          <w:sz w:val="28"/>
          <w:szCs w:val="28"/>
          <w:highlight w:val="none"/>
        </w:rPr>
      </w:r>
      <w:r/>
    </w:p>
    <w:p>
      <w:pPr>
        <w:pStyle w:val="854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highlight w:val="white"/>
        </w:rPr>
        <w:t xml:space="preserve">погашение номинальной стоимости государственных облигаций Ста</w:t>
      </w:r>
      <w:r>
        <w:rPr>
          <w:sz w:val="28"/>
          <w:highlight w:val="white"/>
        </w:rPr>
        <w:t xml:space="preserve">в</w:t>
      </w:r>
      <w:r>
        <w:rPr>
          <w:sz w:val="28"/>
          <w:highlight w:val="white"/>
        </w:rPr>
        <w:t xml:space="preserve">ропол</w:t>
      </w:r>
      <w:r>
        <w:rPr>
          <w:sz w:val="28"/>
          <w:highlight w:val="white"/>
        </w:rPr>
        <w:t xml:space="preserve">ь</w:t>
      </w:r>
      <w:r>
        <w:rPr>
          <w:sz w:val="28"/>
          <w:highlight w:val="white"/>
        </w:rPr>
        <w:t xml:space="preserve">ского края на сумм</w:t>
      </w:r>
      <w:r>
        <w:rPr>
          <w:sz w:val="28"/>
          <w:highlight w:val="white"/>
        </w:rPr>
        <w:t xml:space="preserve">у 1</w:t>
      </w:r>
      <w:r>
        <w:rPr>
          <w:sz w:val="28"/>
          <w:highlight w:val="white"/>
        </w:rPr>
        <w:t xml:space="preserve"> 750</w:t>
      </w:r>
      <w:r>
        <w:rPr>
          <w:sz w:val="28"/>
          <w:highlight w:val="white"/>
        </w:rPr>
        <w:t xml:space="preserve"> 000,00 тыс. </w:t>
      </w:r>
      <w:r>
        <w:rPr>
          <w:sz w:val="28"/>
          <w:highlight w:val="white"/>
        </w:rPr>
        <w:t xml:space="preserve">рублей.</w:t>
      </w:r>
      <w:r>
        <w:rPr>
          <w:sz w:val="28"/>
          <w:szCs w:val="28"/>
          <w:highlight w:val="white"/>
        </w:rPr>
      </w:r>
      <w:r/>
    </w:p>
    <w:p>
      <w:pPr>
        <w:pStyle w:val="854"/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Г</w:t>
      </w:r>
      <w:r>
        <w:rPr>
          <w:sz w:val="28"/>
          <w:highlight w:val="white"/>
        </w:rPr>
        <w:t xml:space="preserve">ос</w:t>
      </w:r>
      <w:r>
        <w:rPr>
          <w:sz w:val="28"/>
          <w:highlight w:val="white"/>
        </w:rPr>
        <w:t xml:space="preserve">ударственный </w:t>
      </w:r>
      <w:r>
        <w:rPr>
          <w:sz w:val="28"/>
          <w:highlight w:val="white"/>
        </w:rPr>
        <w:t xml:space="preserve">внутренний </w:t>
      </w:r>
      <w:r>
        <w:rPr>
          <w:sz w:val="28"/>
          <w:highlight w:val="white"/>
        </w:rPr>
        <w:t xml:space="preserve">долг Ставропольского кр</w:t>
      </w:r>
      <w:r>
        <w:rPr>
          <w:sz w:val="28"/>
          <w:highlight w:val="white"/>
        </w:rPr>
        <w:t xml:space="preserve">ая в результате</w:t>
      </w:r>
      <w:r>
        <w:rPr>
          <w:sz w:val="28"/>
          <w:highlight w:val="white"/>
        </w:rPr>
        <w:t xml:space="preserve"> этого уменьшился на 13 548</w:t>
      </w:r>
      <w:r>
        <w:rPr>
          <w:sz w:val="28"/>
          <w:highlight w:val="white"/>
        </w:rPr>
        <w:t xml:space="preserve"> </w:t>
      </w:r>
      <w:r>
        <w:rPr>
          <w:sz w:val="28"/>
          <w:highlight w:val="white"/>
        </w:rPr>
        <w:t xml:space="preserve">643,92 тыс.</w:t>
      </w:r>
      <w:r>
        <w:rPr>
          <w:sz w:val="28"/>
          <w:highlight w:val="white"/>
        </w:rPr>
        <w:t xml:space="preserve"> рублей </w:t>
      </w:r>
      <w:r>
        <w:rPr>
          <w:sz w:val="28"/>
          <w:highlight w:val="white"/>
        </w:rPr>
        <w:t xml:space="preserve">и </w:t>
      </w:r>
      <w:r>
        <w:rPr>
          <w:sz w:val="28"/>
          <w:highlight w:val="white"/>
        </w:rPr>
        <w:t xml:space="preserve">по состоянию на 01 янв</w:t>
      </w:r>
      <w:r>
        <w:rPr>
          <w:sz w:val="28"/>
          <w:highlight w:val="white"/>
        </w:rPr>
        <w:t xml:space="preserve">а</w:t>
      </w:r>
      <w:r>
        <w:rPr>
          <w:sz w:val="28"/>
          <w:highlight w:val="white"/>
        </w:rPr>
        <w:t xml:space="preserve">ря 2026 </w:t>
      </w:r>
      <w:r>
        <w:rPr>
          <w:sz w:val="28"/>
          <w:highlight w:val="white"/>
        </w:rPr>
        <w:t xml:space="preserve">года со</w:t>
      </w:r>
      <w:r>
        <w:rPr>
          <w:sz w:val="28"/>
          <w:highlight w:val="white"/>
        </w:rPr>
        <w:t xml:space="preserve">ставил 12</w:t>
      </w:r>
      <w:r>
        <w:rPr>
          <w:sz w:val="28"/>
          <w:highlight w:val="white"/>
        </w:rPr>
        <w:t xml:space="preserve"> </w:t>
      </w:r>
      <w:r>
        <w:rPr>
          <w:sz w:val="28"/>
          <w:highlight w:val="white"/>
        </w:rPr>
        <w:t xml:space="preserve">692 892,36</w:t>
      </w:r>
      <w:r>
        <w:rPr>
          <w:sz w:val="28"/>
          <w:highlight w:val="white"/>
        </w:rPr>
        <w:t xml:space="preserve"> тыс.</w:t>
      </w:r>
      <w:r>
        <w:rPr>
          <w:sz w:val="28"/>
          <w:highlight w:val="white"/>
        </w:rPr>
        <w:t xml:space="preserve"> рублей и включал обязательства по:</w:t>
      </w:r>
      <w:r>
        <w:rPr>
          <w:sz w:val="28"/>
          <w:highlight w:val="white"/>
        </w:rPr>
      </w:r>
      <w:r/>
    </w:p>
    <w:p>
      <w:pPr>
        <w:pStyle w:val="854"/>
        <w:ind w:firstLine="709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государственным облигациям Ставропольского края</w:t>
      </w:r>
      <w:r>
        <w:rPr>
          <w:spacing w:val="-2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 сум-   </w:t>
      </w:r>
      <w:r>
        <w:rPr>
          <w:sz w:val="28"/>
          <w:szCs w:val="28"/>
          <w:highlight w:val="white"/>
        </w:rPr>
        <w:t xml:space="preserve">                           ме 1 </w:t>
      </w:r>
      <w:r>
        <w:rPr>
          <w:sz w:val="28"/>
          <w:szCs w:val="28"/>
          <w:highlight w:val="white"/>
        </w:rPr>
        <w:t xml:space="preserve">750 000,00 тыс. рублей или 13,79</w:t>
      </w:r>
      <w:r>
        <w:rPr>
          <w:sz w:val="28"/>
          <w:szCs w:val="28"/>
          <w:highlight w:val="white"/>
        </w:rPr>
        <w:t xml:space="preserve"> процента к общей сумме долга;</w:t>
      </w:r>
      <w:r>
        <w:rPr>
          <w:bCs/>
          <w:sz w:val="28"/>
          <w:szCs w:val="28"/>
          <w:highlight w:val="white"/>
        </w:rPr>
      </w:r>
      <w:r/>
    </w:p>
    <w:p>
      <w:pPr>
        <w:pStyle w:val="854"/>
        <w:ind w:firstLine="709"/>
        <w:jc w:val="both"/>
        <w:rPr>
          <w:sz w:val="28"/>
          <w:szCs w:val="28"/>
          <w:highlight w:val="white"/>
        </w:rPr>
      </w:pPr>
      <w:r>
        <w:rPr>
          <w:spacing w:val="-6"/>
          <w:sz w:val="28"/>
          <w:szCs w:val="28"/>
          <w:highlight w:val="white"/>
        </w:rPr>
        <w:t xml:space="preserve">заимствованиям из</w:t>
      </w:r>
      <w:r>
        <w:rPr>
          <w:spacing w:val="-6"/>
          <w:sz w:val="28"/>
          <w:szCs w:val="28"/>
          <w:highlight w:val="white"/>
        </w:rPr>
        <w:t xml:space="preserve"> федерального бюджета в сумме 10 942 892,36</w:t>
      </w:r>
      <w:r>
        <w:rPr>
          <w:spacing w:val="-6"/>
          <w:sz w:val="28"/>
          <w:szCs w:val="28"/>
          <w:highlight w:val="white"/>
        </w:rPr>
        <w:t xml:space="preserve"> тыс. ру</w:t>
      </w:r>
      <w:r>
        <w:rPr>
          <w:spacing w:val="-6"/>
          <w:sz w:val="28"/>
          <w:szCs w:val="28"/>
          <w:highlight w:val="white"/>
        </w:rPr>
        <w:t xml:space="preserve">б</w:t>
      </w:r>
      <w:r>
        <w:rPr>
          <w:sz w:val="28"/>
          <w:szCs w:val="28"/>
          <w:highlight w:val="white"/>
        </w:rPr>
        <w:t xml:space="preserve">лей</w:t>
      </w:r>
      <w:r>
        <w:rPr>
          <w:sz w:val="28"/>
          <w:szCs w:val="28"/>
          <w:highlight w:val="white"/>
        </w:rPr>
        <w:t xml:space="preserve"> или 86,21</w:t>
      </w:r>
      <w:r>
        <w:rPr>
          <w:sz w:val="28"/>
          <w:szCs w:val="28"/>
          <w:highlight w:val="white"/>
        </w:rPr>
        <w:t xml:space="preserve"> процента к общей сумме долга.</w:t>
      </w:r>
      <w:r>
        <w:rPr>
          <w:sz w:val="28"/>
          <w:szCs w:val="28"/>
          <w:highlight w:val="white"/>
        </w:rPr>
      </w:r>
      <w:r/>
    </w:p>
    <w:p>
      <w:pPr>
        <w:pStyle w:val="862"/>
        <w:ind w:left="0" w:firstLine="72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/>
    </w:p>
    <w:p>
      <w:pPr>
        <w:pStyle w:val="854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/>
    </w:p>
    <w:p>
      <w:pPr>
        <w:pStyle w:val="862"/>
        <w:ind w:left="0" w:firstLine="720"/>
        <w:rPr>
          <w:spacing w:val="-6"/>
          <w:sz w:val="28"/>
        </w:rPr>
      </w:pPr>
      <w:r>
        <w:rPr>
          <w:spacing w:val="-6"/>
          <w:sz w:val="28"/>
        </w:rPr>
      </w:r>
      <w:r>
        <w:rPr>
          <w:spacing w:val="-6"/>
          <w:sz w:val="28"/>
        </w:rPr>
      </w:r>
      <w:r/>
    </w:p>
    <w:p>
      <w:pPr>
        <w:pStyle w:val="862"/>
        <w:ind w:left="0" w:firstLine="720"/>
        <w:jc w:val="center"/>
        <w:rPr>
          <w:spacing w:val="-6"/>
          <w:sz w:val="28"/>
          <w:szCs w:val="28"/>
          <w:highlight w:val="none"/>
        </w:rPr>
      </w:pPr>
      <w:r>
        <w:rPr>
          <w:spacing w:val="-6"/>
          <w:sz w:val="28"/>
        </w:rPr>
        <w:t xml:space="preserve">__________________________</w:t>
      </w:r>
      <w:r>
        <w:rPr>
          <w:spacing w:val="-6"/>
          <w:sz w:val="28"/>
          <w:szCs w:val="28"/>
          <w:highlight w:val="none"/>
        </w:rPr>
      </w:r>
      <w:r/>
    </w:p>
    <w:p>
      <w:pPr>
        <w:pStyle w:val="862"/>
        <w:ind w:left="0" w:firstLine="72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</w:r>
      <w:r>
        <w:rPr>
          <w:spacing w:val="-6"/>
          <w:sz w:val="28"/>
          <w:szCs w:val="28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567" w:bottom="1134" w:left="1985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rPr>
        <w:rStyle w:val="870"/>
        <w:sz w:val="28"/>
        <w:szCs w:val="28"/>
      </w:rPr>
      <w:framePr w:wrap="around" w:vAnchor="text" w:hAnchor="margin" w:xAlign="right" w:y="1"/>
    </w:pPr>
    <w:r>
      <w:rPr>
        <w:rStyle w:val="870"/>
        <w:sz w:val="28"/>
        <w:szCs w:val="28"/>
      </w:rPr>
      <w:fldChar w:fldCharType="begin"/>
    </w:r>
    <w:r>
      <w:rPr>
        <w:rStyle w:val="870"/>
        <w:sz w:val="28"/>
        <w:szCs w:val="28"/>
      </w:rPr>
      <w:instrText xml:space="preserve">PAGE  </w:instrText>
    </w:r>
    <w:r>
      <w:rPr>
        <w:rStyle w:val="870"/>
        <w:sz w:val="28"/>
        <w:szCs w:val="28"/>
      </w:rPr>
      <w:fldChar w:fldCharType="separate"/>
    </w:r>
    <w:r>
      <w:rPr>
        <w:rStyle w:val="870"/>
        <w:sz w:val="28"/>
        <w:szCs w:val="28"/>
      </w:rPr>
      <w:t xml:space="preserve">2</w:t>
    </w:r>
    <w:r>
      <w:rPr>
        <w:rStyle w:val="870"/>
        <w:sz w:val="28"/>
        <w:szCs w:val="28"/>
      </w:rPr>
      <w:fldChar w:fldCharType="end"/>
    </w:r>
    <w:r>
      <w:rPr>
        <w:rStyle w:val="870"/>
        <w:sz w:val="28"/>
        <w:szCs w:val="28"/>
      </w:rPr>
    </w:r>
    <w:r/>
  </w:p>
  <w:p>
    <w:pPr>
      <w:pStyle w:val="869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rPr>
        <w:rStyle w:val="870"/>
      </w:rPr>
      <w:framePr w:wrap="around" w:vAnchor="text" w:hAnchor="margin" w:xAlign="right" w:y="1"/>
    </w:pPr>
    <w:r>
      <w:rPr>
        <w:rStyle w:val="870"/>
      </w:rPr>
      <w:fldChar w:fldCharType="begin"/>
    </w:r>
    <w:r>
      <w:rPr>
        <w:rStyle w:val="870"/>
      </w:rPr>
      <w:instrText xml:space="preserve">PAGE  </w:instrText>
    </w:r>
    <w:r>
      <w:rPr>
        <w:rStyle w:val="870"/>
      </w:rPr>
      <w:fldChar w:fldCharType="end"/>
    </w:r>
    <w:r>
      <w:rPr>
        <w:rStyle w:val="870"/>
      </w:rPr>
    </w:r>
    <w:r/>
  </w:p>
  <w:p>
    <w:pPr>
      <w:pStyle w:val="869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rPr>
      <w:sz w:val="24"/>
      <w:szCs w:val="24"/>
      <w:lang w:val="ru-RU" w:eastAsia="ru-RU" w:bidi="ar-SA"/>
    </w:rPr>
  </w:style>
  <w:style w:type="paragraph" w:styleId="855">
    <w:name w:val="Заголовок 1"/>
    <w:basedOn w:val="854"/>
    <w:next w:val="854"/>
    <w:link w:val="854"/>
    <w:qFormat/>
    <w:pPr>
      <w:keepNext/>
      <w:outlineLvl w:val="0"/>
    </w:pPr>
    <w:rPr>
      <w:u w:val="single"/>
    </w:rPr>
  </w:style>
  <w:style w:type="paragraph" w:styleId="856">
    <w:name w:val="Заголовок 2"/>
    <w:basedOn w:val="854"/>
    <w:next w:val="854"/>
    <w:link w:val="854"/>
    <w:qFormat/>
    <w:pPr>
      <w:keepNext/>
      <w:outlineLvl w:val="1"/>
    </w:pPr>
    <w:rPr>
      <w:sz w:val="28"/>
    </w:rPr>
  </w:style>
  <w:style w:type="paragraph" w:styleId="857">
    <w:name w:val="Заголовок 3"/>
    <w:basedOn w:val="854"/>
    <w:next w:val="854"/>
    <w:link w:val="854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858">
    <w:name w:val="Основной шрифт абзаца"/>
    <w:next w:val="858"/>
    <w:link w:val="854"/>
    <w:semiHidden/>
  </w:style>
  <w:style w:type="table" w:styleId="859">
    <w:name w:val="Обычная таблица"/>
    <w:next w:val="859"/>
    <w:link w:val="854"/>
    <w:semiHidden/>
    <w:tblPr/>
  </w:style>
  <w:style w:type="numbering" w:styleId="860">
    <w:name w:val="Нет списка"/>
    <w:next w:val="860"/>
    <w:link w:val="854"/>
    <w:semiHidden/>
  </w:style>
  <w:style w:type="paragraph" w:styleId="861">
    <w:name w:val="Основной текст"/>
    <w:basedOn w:val="854"/>
    <w:next w:val="861"/>
    <w:link w:val="854"/>
    <w:pPr>
      <w:jc w:val="both"/>
    </w:pPr>
  </w:style>
  <w:style w:type="paragraph" w:styleId="862">
    <w:name w:val="Основной текст с отступом"/>
    <w:basedOn w:val="854"/>
    <w:next w:val="862"/>
    <w:link w:val="872"/>
    <w:pPr>
      <w:ind w:left="720"/>
      <w:jc w:val="both"/>
    </w:pPr>
  </w:style>
  <w:style w:type="paragraph" w:styleId="863">
    <w:name w:val="Основной текст 2"/>
    <w:basedOn w:val="854"/>
    <w:next w:val="863"/>
    <w:link w:val="854"/>
    <w:pPr>
      <w:jc w:val="center"/>
    </w:pPr>
    <w:rPr>
      <w:b/>
      <w:bCs/>
    </w:rPr>
  </w:style>
  <w:style w:type="paragraph" w:styleId="864">
    <w:name w:val="Основной текст 3"/>
    <w:basedOn w:val="854"/>
    <w:next w:val="864"/>
    <w:link w:val="854"/>
    <w:pPr>
      <w:jc w:val="both"/>
    </w:pPr>
    <w:rPr>
      <w:sz w:val="28"/>
    </w:rPr>
  </w:style>
  <w:style w:type="paragraph" w:styleId="865">
    <w:name w:val="Основной текст с отступом 2"/>
    <w:basedOn w:val="854"/>
    <w:next w:val="865"/>
    <w:link w:val="854"/>
    <w:pPr>
      <w:ind w:firstLine="720"/>
      <w:jc w:val="both"/>
    </w:pPr>
    <w:rPr>
      <w:sz w:val="28"/>
    </w:rPr>
  </w:style>
  <w:style w:type="paragraph" w:styleId="866">
    <w:name w:val="Основной текст с отступом 3"/>
    <w:basedOn w:val="854"/>
    <w:next w:val="866"/>
    <w:link w:val="854"/>
    <w:pPr>
      <w:ind w:firstLine="851"/>
      <w:jc w:val="both"/>
    </w:pPr>
    <w:rPr>
      <w:spacing w:val="-8"/>
      <w:sz w:val="28"/>
      <w:szCs w:val="20"/>
    </w:rPr>
  </w:style>
  <w:style w:type="paragraph" w:styleId="867">
    <w:name w:val="Текст выноски"/>
    <w:basedOn w:val="854"/>
    <w:next w:val="867"/>
    <w:link w:val="854"/>
    <w:semiHidden/>
    <w:rPr>
      <w:rFonts w:ascii="Tahoma" w:hAnsi="Tahoma" w:cs="Tahoma"/>
      <w:sz w:val="16"/>
      <w:szCs w:val="16"/>
    </w:rPr>
  </w:style>
  <w:style w:type="paragraph" w:styleId="868">
    <w:name w:val="Обычный (веб)"/>
    <w:basedOn w:val="854"/>
    <w:next w:val="868"/>
    <w:link w:val="854"/>
    <w:semiHidden/>
    <w:unhideWhenUsed/>
    <w:pPr>
      <w:spacing w:before="100" w:beforeAutospacing="1" w:after="100" w:afterAutospacing="1"/>
    </w:pPr>
    <w:rPr>
      <w:lang w:val="en-GB" w:eastAsia="en-GB"/>
    </w:rPr>
  </w:style>
  <w:style w:type="paragraph" w:styleId="869">
    <w:name w:val="Верхний колонтитул"/>
    <w:basedOn w:val="854"/>
    <w:next w:val="869"/>
    <w:link w:val="873"/>
    <w:pPr>
      <w:tabs>
        <w:tab w:val="center" w:pos="4677" w:leader="none"/>
        <w:tab w:val="right" w:pos="9355" w:leader="none"/>
      </w:tabs>
    </w:pPr>
  </w:style>
  <w:style w:type="character" w:styleId="870">
    <w:name w:val="Номер страницы"/>
    <w:basedOn w:val="858"/>
    <w:next w:val="870"/>
    <w:link w:val="854"/>
  </w:style>
  <w:style w:type="paragraph" w:styleId="871">
    <w:name w:val="Нижний колонтитул"/>
    <w:basedOn w:val="854"/>
    <w:next w:val="871"/>
    <w:link w:val="854"/>
    <w:pPr>
      <w:tabs>
        <w:tab w:val="center" w:pos="4677" w:leader="none"/>
        <w:tab w:val="right" w:pos="9355" w:leader="none"/>
      </w:tabs>
    </w:pPr>
  </w:style>
  <w:style w:type="character" w:styleId="872">
    <w:name w:val="Основной текст с отступом Знак"/>
    <w:basedOn w:val="858"/>
    <w:next w:val="872"/>
    <w:link w:val="862"/>
    <w:rPr>
      <w:sz w:val="24"/>
      <w:szCs w:val="24"/>
    </w:rPr>
  </w:style>
  <w:style w:type="character" w:styleId="873">
    <w:name w:val="Верхний колонтитул Знак"/>
    <w:basedOn w:val="858"/>
    <w:next w:val="873"/>
    <w:link w:val="869"/>
    <w:rPr>
      <w:sz w:val="24"/>
      <w:szCs w:val="24"/>
    </w:rPr>
  </w:style>
  <w:style w:type="character" w:styleId="874" w:default="1">
    <w:name w:val="Default Paragraph Font"/>
    <w:uiPriority w:val="1"/>
    <w:semiHidden/>
    <w:unhideWhenUsed/>
  </w:style>
  <w:style w:type="numbering" w:styleId="875" w:default="1">
    <w:name w:val="No List"/>
    <w:uiPriority w:val="99"/>
    <w:semiHidden/>
    <w:unhideWhenUsed/>
  </w:style>
  <w:style w:type="table" w:styleId="87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R7-Office/7.2.1.14</Application>
  <Company>Министерство финансов СК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 отдела ценных бумаг</dc:title>
  <dc:creator>Клочко Г.А.</dc:creator>
  <cp:lastModifiedBy>Инна Малхазовна Кудзиева</cp:lastModifiedBy>
  <cp:revision>70</cp:revision>
  <dcterms:created xsi:type="dcterms:W3CDTF">2018-04-12T08:14:00Z</dcterms:created>
  <dcterms:modified xsi:type="dcterms:W3CDTF">2026-04-14T07:50:36Z</dcterms:modified>
  <cp:version>786432</cp:version>
</cp:coreProperties>
</file>